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i/>
          <w:sz w:val="32"/>
          <w:szCs w:val="28"/>
        </w:rPr>
      </w:pPr>
      <w:r>
        <w:rPr>
          <w:b/>
          <w:i/>
          <w:sz w:val="32"/>
          <w:szCs w:val="28"/>
        </w:rPr>
        <w:t>ПРИ</w:t>
      </w:r>
      <w:r>
        <w:rPr>
          <w:b/>
          <w:i/>
          <w:sz w:val="32"/>
          <w:szCs w:val="28"/>
          <w:lang w:val="uk-UA"/>
        </w:rPr>
        <w:t>КЛАД</w:t>
      </w:r>
      <w:bookmarkStart w:id="0" w:name="_GoBack"/>
      <w:bookmarkEnd w:id="0"/>
      <w:r>
        <w:rPr>
          <w:b/>
          <w:i/>
          <w:sz w:val="32"/>
          <w:szCs w:val="28"/>
        </w:rPr>
        <w:t xml:space="preserve"> ОФОРМЛЕНИЯ ТЕЗИСОВ</w:t>
      </w:r>
    </w:p>
    <w:p>
      <w:pPr>
        <w:rPr>
          <w:sz w:val="20"/>
          <w:lang w:val="uk-UA"/>
        </w:rPr>
      </w:pPr>
      <w:r>
        <w:rPr>
          <w:sz w:val="20"/>
          <w:lang w:val="uk-UA"/>
        </w:rPr>
        <w:t>УДК 378.1:001.89:3</w:t>
      </w:r>
    </w:p>
    <w:p>
      <w:pPr>
        <w:rPr>
          <w:rFonts w:cs="Arial"/>
          <w:sz w:val="16"/>
          <w:szCs w:val="20"/>
          <w:lang w:val="uk-UA"/>
        </w:rPr>
      </w:pPr>
    </w:p>
    <w:p>
      <w:pPr>
        <w:rPr>
          <w:rFonts w:cs="Arial"/>
          <w:sz w:val="20"/>
          <w:szCs w:val="20"/>
          <w:vertAlign w:val="superscript"/>
        </w:rPr>
      </w:pPr>
      <w:r>
        <w:rPr>
          <w:rFonts w:cs="Arial"/>
          <w:sz w:val="20"/>
          <w:szCs w:val="20"/>
          <w:lang w:val="uk-UA"/>
        </w:rPr>
        <w:t>Р. Кшиштоф</w:t>
      </w:r>
      <w:r>
        <w:rPr>
          <w:rFonts w:cs="Arial"/>
          <w:sz w:val="20"/>
          <w:szCs w:val="20"/>
          <w:vertAlign w:val="superscript"/>
          <w:lang w:val="uk-UA"/>
        </w:rPr>
        <w:t>1</w:t>
      </w:r>
      <w:r>
        <w:rPr>
          <w:rFonts w:cs="Arial"/>
          <w:sz w:val="20"/>
          <w:szCs w:val="20"/>
          <w:lang w:val="uk-UA"/>
        </w:rPr>
        <w:t xml:space="preserve">, П. Ришард </w:t>
      </w:r>
      <w:r>
        <w:rPr>
          <w:rFonts w:cs="Arial"/>
          <w:sz w:val="20"/>
          <w:szCs w:val="20"/>
          <w:vertAlign w:val="superscript"/>
          <w:lang w:val="uk-UA"/>
        </w:rPr>
        <w:t>1</w:t>
      </w:r>
      <w:r>
        <w:rPr>
          <w:rFonts w:cs="Arial"/>
          <w:sz w:val="20"/>
          <w:szCs w:val="20"/>
          <w:lang w:val="uk-UA"/>
        </w:rPr>
        <w:t xml:space="preserve">, </w:t>
      </w:r>
      <w:r>
        <w:rPr>
          <w:rFonts w:cs="Arial"/>
          <w:sz w:val="20"/>
          <w:szCs w:val="20"/>
        </w:rPr>
        <w:t xml:space="preserve">Н. </w:t>
      </w:r>
      <w:r>
        <w:rPr>
          <w:rFonts w:cs="Arial"/>
          <w:sz w:val="20"/>
          <w:szCs w:val="20"/>
          <w:lang w:val="uk-UA"/>
        </w:rPr>
        <w:t>Внукова</w:t>
      </w:r>
      <w:r>
        <w:rPr>
          <w:rFonts w:cs="Arial"/>
          <w:sz w:val="20"/>
          <w:szCs w:val="20"/>
          <w:vertAlign w:val="superscript"/>
        </w:rPr>
        <w:t>2</w:t>
      </w:r>
    </w:p>
    <w:p>
      <w:pPr>
        <w:rPr>
          <w:rFonts w:cs="Arial"/>
          <w:sz w:val="16"/>
          <w:szCs w:val="20"/>
          <w:lang w:val="uk-UA"/>
        </w:rPr>
      </w:pPr>
    </w:p>
    <w:p>
      <w:pPr>
        <w:rPr>
          <w:rFonts w:cs="Arial"/>
          <w:i/>
          <w:sz w:val="20"/>
          <w:szCs w:val="20"/>
          <w:lang w:val="uk-UA"/>
        </w:rPr>
      </w:pPr>
      <w:r>
        <w:rPr>
          <w:rFonts w:cs="Arial"/>
          <w:i/>
          <w:sz w:val="20"/>
          <w:szCs w:val="20"/>
          <w:lang w:val="en-US"/>
        </w:rPr>
        <w:t>Kshishtof</w:t>
      </w:r>
      <w:r>
        <w:rPr>
          <w:rFonts w:cs="Arial"/>
          <w:i/>
          <w:sz w:val="20"/>
          <w:szCs w:val="20"/>
          <w:lang w:val="uk-UA"/>
        </w:rPr>
        <w:t xml:space="preserve"> @gmail.</w:t>
      </w:r>
      <w:r>
        <w:rPr>
          <w:rFonts w:cs="Arial"/>
          <w:i/>
          <w:sz w:val="20"/>
          <w:szCs w:val="20"/>
          <w:lang w:val="en-US"/>
        </w:rPr>
        <w:t>com</w:t>
      </w:r>
      <w:r>
        <w:rPr>
          <w:rFonts w:cs="Arial"/>
          <w:sz w:val="20"/>
          <w:szCs w:val="20"/>
          <w:lang w:val="uk-UA"/>
        </w:rPr>
        <w:t>,</w:t>
      </w:r>
      <w:r>
        <w:rPr>
          <w:rFonts w:cs="Arial"/>
          <w:i/>
          <w:sz w:val="20"/>
          <w:szCs w:val="20"/>
          <w:lang w:val="uk-UA"/>
        </w:rPr>
        <w:t xml:space="preserve"> </w:t>
      </w:r>
      <w:r>
        <w:rPr>
          <w:rFonts w:cs="Arial"/>
          <w:i/>
          <w:sz w:val="20"/>
          <w:szCs w:val="20"/>
          <w:lang w:val="en-US"/>
        </w:rPr>
        <w:t xml:space="preserve">Rishard </w:t>
      </w:r>
      <w:r>
        <w:rPr>
          <w:rFonts w:cs="Arial"/>
          <w:i/>
          <w:sz w:val="20"/>
          <w:szCs w:val="20"/>
          <w:lang w:val="uk-UA"/>
        </w:rPr>
        <w:t>@gmail.</w:t>
      </w:r>
      <w:r>
        <w:rPr>
          <w:rFonts w:cs="Arial"/>
          <w:i/>
          <w:sz w:val="20"/>
          <w:szCs w:val="20"/>
          <w:lang w:val="en-US"/>
        </w:rPr>
        <w:t>com</w:t>
      </w:r>
      <w:r>
        <w:rPr>
          <w:rFonts w:cs="Arial"/>
          <w:sz w:val="20"/>
          <w:szCs w:val="20"/>
          <w:lang w:val="uk-UA"/>
        </w:rPr>
        <w:t xml:space="preserve">, </w:t>
      </w:r>
      <w:r>
        <w:rPr>
          <w:rFonts w:cs="Arial"/>
          <w:i/>
          <w:sz w:val="20"/>
          <w:szCs w:val="20"/>
          <w:lang w:val="en-US"/>
        </w:rPr>
        <w:t>Vnukova</w:t>
      </w:r>
      <w:r>
        <w:rPr>
          <w:rFonts w:cs="Arial"/>
          <w:i/>
          <w:sz w:val="20"/>
          <w:szCs w:val="20"/>
          <w:lang w:val="uk-UA"/>
        </w:rPr>
        <w:t>@</w:t>
      </w:r>
      <w:r>
        <w:rPr>
          <w:rFonts w:cs="Arial"/>
          <w:i/>
          <w:sz w:val="20"/>
          <w:szCs w:val="20"/>
          <w:lang w:val="en-US"/>
        </w:rPr>
        <w:t>gmail</w:t>
      </w:r>
      <w:r>
        <w:rPr>
          <w:rFonts w:cs="Arial"/>
          <w:i/>
          <w:sz w:val="20"/>
          <w:szCs w:val="20"/>
          <w:lang w:val="uk-UA"/>
        </w:rPr>
        <w:t>.</w:t>
      </w:r>
      <w:r>
        <w:rPr>
          <w:rFonts w:cs="Arial"/>
          <w:i/>
          <w:sz w:val="20"/>
          <w:szCs w:val="20"/>
          <w:lang w:val="en-US"/>
        </w:rPr>
        <w:t>com</w:t>
      </w:r>
    </w:p>
    <w:p>
      <w:pPr>
        <w:rPr>
          <w:rFonts w:cs="Arial"/>
          <w:sz w:val="16"/>
          <w:szCs w:val="20"/>
          <w:lang w:val="uk-UA"/>
        </w:rPr>
      </w:pPr>
    </w:p>
    <w:p>
      <w:pPr>
        <w:rPr>
          <w:rFonts w:cs="Arial"/>
          <w:i/>
          <w:sz w:val="20"/>
          <w:szCs w:val="20"/>
          <w:lang w:val="uk-UA"/>
        </w:rPr>
      </w:pPr>
      <w:r>
        <w:rPr>
          <w:rFonts w:cs="Arial"/>
          <w:i/>
          <w:sz w:val="20"/>
          <w:szCs w:val="20"/>
          <w:vertAlign w:val="superscript"/>
          <w:lang w:val="uk-UA"/>
        </w:rPr>
        <w:t>1</w:t>
      </w:r>
      <w:r>
        <w:rPr>
          <w:lang w:val="uk-UA"/>
        </w:rPr>
        <w:t xml:space="preserve"> </w:t>
      </w:r>
      <w:r>
        <w:rPr>
          <w:rFonts w:cs="Arial"/>
          <w:i/>
          <w:sz w:val="20"/>
          <w:szCs w:val="20"/>
          <w:lang w:val="uk-UA"/>
        </w:rPr>
        <w:t>Державна Вища техніко-економічна школа ім .Б. Маркевича у Ярославі (Республіка Польща)</w:t>
      </w:r>
    </w:p>
    <w:p>
      <w:pPr>
        <w:rPr>
          <w:rFonts w:cs="Arial"/>
          <w:i/>
          <w:sz w:val="20"/>
          <w:szCs w:val="20"/>
          <w:lang w:val="uk-UA"/>
        </w:rPr>
      </w:pPr>
      <w:r>
        <w:rPr>
          <w:rFonts w:cs="Arial"/>
          <w:i/>
          <w:sz w:val="20"/>
          <w:szCs w:val="20"/>
          <w:vertAlign w:val="superscript"/>
          <w:lang w:val="uk-UA"/>
        </w:rPr>
        <w:t>2</w:t>
      </w:r>
      <w:r>
        <w:t xml:space="preserve"> </w:t>
      </w:r>
      <w:r>
        <w:rPr>
          <w:rFonts w:cs="Arial"/>
          <w:i/>
          <w:sz w:val="20"/>
          <w:szCs w:val="20"/>
        </w:rPr>
        <w:t>Харківський національний економічний університет ім. С. Кузнеця</w:t>
      </w:r>
      <w:r>
        <w:rPr>
          <w:rFonts w:cs="Arial"/>
          <w:i/>
          <w:sz w:val="20"/>
          <w:szCs w:val="20"/>
          <w:lang w:val="uk-UA"/>
        </w:rPr>
        <w:t>, Харків</w:t>
      </w:r>
    </w:p>
    <w:p>
      <w:pPr>
        <w:rPr>
          <w:rFonts w:cs="Arial"/>
          <w:i/>
          <w:szCs w:val="20"/>
          <w:lang w:val="uk-UA"/>
        </w:rPr>
      </w:pPr>
    </w:p>
    <w:p>
      <w:pPr>
        <w:ind w:right="400"/>
        <w:jc w:val="center"/>
        <w:rPr>
          <w:rFonts w:ascii="Arial" w:hAnsi="Arial" w:cs="Arial"/>
          <w:b/>
          <w:lang w:val="uk-UA"/>
        </w:rPr>
      </w:pPr>
      <w:r>
        <w:rPr>
          <w:rFonts w:ascii="Arial" w:hAnsi="Arial" w:cs="Arial"/>
          <w:b/>
          <w:lang w:val="uk-UA"/>
        </w:rPr>
        <w:t>ЕРАЗМУС + У ЗАБЕЗПЕЧЕННІ ІННОВАЦІЙНОГО РОЗВИТКУ ЕКОНОМІЧНОЇ НАУКИ</w:t>
      </w:r>
    </w:p>
    <w:p>
      <w:pPr>
        <w:ind w:right="400"/>
        <w:jc w:val="center"/>
        <w:rPr>
          <w:rFonts w:cs="Arial"/>
          <w:szCs w:val="20"/>
        </w:rPr>
      </w:pPr>
    </w:p>
    <w:p>
      <w:pPr>
        <w:ind w:firstLine="709"/>
        <w:jc w:val="both"/>
        <w:rPr>
          <w:rFonts w:cs="Arial"/>
          <w:sz w:val="20"/>
          <w:szCs w:val="20"/>
          <w:lang w:val="uk-UA"/>
        </w:rPr>
        <w:sectPr>
          <w:pgSz w:w="11906" w:h="16838"/>
          <w:pgMar w:top="1134" w:right="1134" w:bottom="1418" w:left="1418" w:header="709" w:footer="709" w:gutter="0"/>
          <w:cols w:space="708" w:num="1"/>
          <w:docGrid w:linePitch="360" w:charSpace="0"/>
        </w:sectPr>
      </w:pPr>
    </w:p>
    <w:p>
      <w:pPr>
        <w:ind w:firstLine="426"/>
        <w:jc w:val="both"/>
        <w:rPr>
          <w:rFonts w:cs="Arial"/>
          <w:sz w:val="20"/>
          <w:szCs w:val="20"/>
          <w:lang w:val="uk-UA"/>
        </w:rPr>
      </w:pPr>
      <w:r>
        <w:rPr>
          <w:rFonts w:cs="Arial"/>
          <w:sz w:val="20"/>
          <w:szCs w:val="20"/>
          <w:lang w:val="uk-UA"/>
        </w:rPr>
        <w:t>Виклики ХХІ сторіччя  щодо проблем з фізичним виживанням внаслідок посилення агресивних дій, а також недостатньої соціальної мобільності впливають на зміни, які відбуваються в системі європейської вищої освіти.  Актуальність питання  посилюється змінами у розвитку економіки знань, трансферу  технологій та підвищення ролі економічної науки пропорційно можливості вирішення життєвих проблем, що викликало перехід на компетентністний підхід.</w:t>
      </w:r>
    </w:p>
    <w:p>
      <w:pPr>
        <w:ind w:firstLine="426"/>
        <w:jc w:val="both"/>
        <w:rPr>
          <w:rFonts w:cs="Arial"/>
          <w:sz w:val="20"/>
          <w:szCs w:val="20"/>
          <w:lang w:val="uk-UA"/>
        </w:rPr>
      </w:pPr>
      <w:r>
        <w:rPr>
          <w:rFonts w:cs="Arial"/>
          <w:sz w:val="20"/>
          <w:szCs w:val="20"/>
          <w:lang w:val="uk-UA"/>
        </w:rPr>
        <w:t>Для вирішення інноваційних завдань розвитку економічної науки у європейському освітньому просторі запроваджено національні рамки кваліфікацій, зокрема, в Україні прийнята  Національна рамка кваліфікацій (НРК) (Постанова КМУ  № 1341 від 23.11.2011г.) та Заходи до  НРК (наказ МОН та Мінсоцполітики № 488/225 від 20.04.2012). 2014 року  відбулася  імплементація положень НРК в Закон України “Про вищу освіту” [5].</w:t>
      </w:r>
    </w:p>
    <w:p>
      <w:pPr>
        <w:ind w:firstLine="426"/>
        <w:jc w:val="both"/>
        <w:rPr>
          <w:rFonts w:cs="Arial"/>
          <w:sz w:val="20"/>
          <w:szCs w:val="20"/>
          <w:lang w:val="uk-UA"/>
        </w:rPr>
      </w:pPr>
      <w:r>
        <w:rPr>
          <w:rFonts w:cs="Arial"/>
          <w:sz w:val="20"/>
          <w:szCs w:val="20"/>
          <w:lang w:val="uk-UA"/>
        </w:rPr>
        <w:t>Передумовою запровадження НРК в Україні були Рамка кваліфікацій європейського простору вищої освіти (2005 р): Європейська рамка кваліфікацій для навчання впродовж життя (2008 р). Для забезпечення компетентнісного підходу в системі вищої освіти і набутті кваліфікацій, адаптованих до європейських вимог, постає питання їх вивчення і імплементації у освітнє середовище України. За ст.74 Закону України “Про вищу освіту”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 [5]. Мобільність є одним з інтеграційних інструментів  як викладачів, так і студентів для безпосередньої участі в освітньому процесі вищої школи ЄС.</w:t>
      </w:r>
    </w:p>
    <w:p>
      <w:pPr>
        <w:ind w:firstLine="426"/>
        <w:jc w:val="both"/>
        <w:rPr>
          <w:rFonts w:cs="Arial"/>
          <w:sz w:val="20"/>
          <w:szCs w:val="20"/>
          <w:lang w:val="uk-UA"/>
        </w:rPr>
      </w:pPr>
      <w:r>
        <w:rPr>
          <w:rFonts w:cs="Arial"/>
          <w:sz w:val="20"/>
          <w:szCs w:val="20"/>
          <w:lang w:val="uk-UA"/>
        </w:rPr>
        <w:t>За ст.1 Закону України «Про вищу освіту» академічна мобільність – це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 [5].</w:t>
      </w:r>
    </w:p>
    <w:p>
      <w:pPr>
        <w:ind w:firstLine="426"/>
        <w:jc w:val="both"/>
        <w:rPr>
          <w:rFonts w:cs="Arial"/>
          <w:sz w:val="20"/>
          <w:szCs w:val="20"/>
          <w:lang w:val="uk-UA"/>
        </w:rPr>
      </w:pPr>
      <w:r>
        <w:rPr>
          <w:rFonts w:cs="Arial"/>
          <w:sz w:val="20"/>
          <w:szCs w:val="20"/>
          <w:lang w:val="uk-UA"/>
        </w:rPr>
        <w:t>Національний інститут стратегічних досліджень в Україні розглядає академічну мобільність як фактор інтеграції країни  у світовий науково-освітній простір [1]. У своїй аналітичний записці  відзначає, що розвиток академічної мобільності уможливить прискорення інтеграції країни до Європейського освітнього простору, сприятиме удосконаленню освітніх технологій, посиленню якості української освіти до світового  рівня, підтримуватиме інноваційний розвиток університетської науки та інтеграцію її з виробництвом, покращить якість трудових ресурсів країни та можливості працевлаштування.</w:t>
      </w:r>
    </w:p>
    <w:p>
      <w:pPr>
        <w:ind w:firstLine="426"/>
        <w:jc w:val="both"/>
        <w:rPr>
          <w:rFonts w:cs="Arial"/>
          <w:sz w:val="20"/>
          <w:szCs w:val="20"/>
          <w:lang w:val="uk-UA"/>
        </w:rPr>
      </w:pPr>
      <w:r>
        <w:rPr>
          <w:rFonts w:cs="Arial"/>
          <w:sz w:val="20"/>
          <w:szCs w:val="20"/>
          <w:lang w:val="uk-UA"/>
        </w:rPr>
        <w:t>Відповідно до ст. 57 Закону України “Про вищу освіту” науково-педагогічні, наукові та педагогічні працівники вищого навчального закладу всіх форм власності мають право на  академічну мобільність для провадження професійної діяльності. За ст.13 Закону України “Про вищу освіту” центральний орган виконавчої влади у сфері освіти і науки (Міністерство освіти і науки України)  розробляє положення про порядок реалізації права на академічну мобільність та подає його на затвердження Кабінету Міністрів України (КМУ).</w:t>
      </w:r>
    </w:p>
    <w:p>
      <w:pPr>
        <w:ind w:firstLine="426"/>
        <w:jc w:val="both"/>
        <w:rPr>
          <w:rFonts w:cs="Arial"/>
          <w:sz w:val="20"/>
          <w:szCs w:val="20"/>
          <w:lang w:val="uk-UA"/>
        </w:rPr>
      </w:pPr>
      <w:r>
        <w:rPr>
          <w:rFonts w:cs="Arial"/>
          <w:sz w:val="20"/>
          <w:szCs w:val="20"/>
          <w:lang w:val="uk-UA"/>
        </w:rPr>
        <w:t xml:space="preserve">Постановою КМУ від 12 серпня 2015 року </w:t>
      </w:r>
      <w:r>
        <w:rPr>
          <w:rFonts w:cs="Arial"/>
          <w:sz w:val="20"/>
          <w:szCs w:val="20"/>
          <w:lang w:val="uk-UA"/>
        </w:rPr>
        <w:br w:type="textWrapping"/>
      </w:r>
      <w:r>
        <w:rPr>
          <w:rFonts w:cs="Arial"/>
          <w:sz w:val="20"/>
          <w:szCs w:val="20"/>
          <w:lang w:val="uk-UA"/>
        </w:rPr>
        <w:t>№ 579 затверджено  Положення про порядок реалізації права на академічну мобільність [6], де відзначено, що вітчизняні учасники освітнього процесу і вищі навчальні заклади (наукові установи) та іноземні учасники освітнього процесу і навчальні заклади (наукові установи), що беруть участь у програмах академічної мобільності, є учасниками академічної мобільності.</w:t>
      </w:r>
    </w:p>
    <w:p>
      <w:pPr>
        <w:ind w:firstLine="426"/>
        <w:jc w:val="both"/>
        <w:rPr>
          <w:rFonts w:cs="Arial"/>
          <w:sz w:val="20"/>
          <w:szCs w:val="20"/>
          <w:lang w:val="uk-UA"/>
        </w:rPr>
      </w:pPr>
      <w:r>
        <w:rPr>
          <w:rFonts w:cs="Arial"/>
          <w:sz w:val="20"/>
          <w:szCs w:val="20"/>
          <w:lang w:val="uk-UA"/>
        </w:rPr>
        <w:t>За місцем реалізації права на академічну мобільність вона поділяється на: внутрішню і міжнародну. Формами академічної мобільності для осіб, що здобувають науковий ступінь доктора наук, науково-педагогічних та інших учасників освітнього процесу, є: участь у спільних проектах; викладання; наукове дослідження; наукове стажування; підвищення кваліфікації.</w:t>
      </w:r>
    </w:p>
    <w:p>
      <w:pPr>
        <w:ind w:firstLine="426"/>
        <w:jc w:val="both"/>
        <w:rPr>
          <w:rFonts w:cs="Arial"/>
          <w:sz w:val="20"/>
          <w:szCs w:val="20"/>
          <w:lang w:val="uk-UA"/>
        </w:rPr>
      </w:pPr>
      <w:r>
        <w:rPr>
          <w:rFonts w:cs="Arial"/>
          <w:sz w:val="20"/>
          <w:szCs w:val="20"/>
          <w:lang w:val="uk-UA"/>
        </w:rPr>
        <w:t>Науково-педагогічні, наукові, педагогічні працівники вищих навчальних закладів (наукових установ) усіх форм власності можуть реалізувати право на академічну мобільність для провадження професійної діяльності відповідно до укладеного договору про участь у програмі академічної мобільності. При цьому за зазначеними працівниками зберігається основне місце роботи у вітчизняному вищому навчальному закладі (науковій установі) до одного року. Оплата праці відповідно до законодавства за основним місцем роботи зберігається на строк до шести місяців, якщо вона не передбачена програмою академічної мобільності.</w:t>
      </w:r>
    </w:p>
    <w:p>
      <w:pPr>
        <w:ind w:firstLine="426"/>
        <w:jc w:val="both"/>
        <w:rPr>
          <w:rFonts w:cs="Arial"/>
          <w:sz w:val="20"/>
          <w:szCs w:val="20"/>
          <w:lang w:val="uk-UA"/>
        </w:rPr>
      </w:pPr>
      <w:r>
        <w:rPr>
          <w:rFonts w:cs="Arial"/>
          <w:sz w:val="20"/>
          <w:szCs w:val="20"/>
          <w:lang w:val="uk-UA"/>
        </w:rPr>
        <w:t>Отже, щодо інтеграції України у освітній європейський простір існують правові підстави. Як інструмент реалізації цих прав є участь у міжнародних програмах академічної мобільності. 2016 року визначено розширені можливості інтеграційної європейської Програми Еразмус+ щодо участі в ній інших країн, зокрема, України [2].</w:t>
      </w:r>
    </w:p>
    <w:p>
      <w:pPr>
        <w:ind w:firstLine="426"/>
        <w:jc w:val="both"/>
        <w:rPr>
          <w:rFonts w:cs="Arial"/>
          <w:sz w:val="20"/>
          <w:szCs w:val="20"/>
          <w:lang w:val="uk-UA"/>
        </w:rPr>
      </w:pPr>
      <w:r>
        <w:rPr>
          <w:rFonts w:cs="Arial"/>
          <w:sz w:val="20"/>
          <w:szCs w:val="20"/>
          <w:lang w:val="uk-UA"/>
        </w:rPr>
        <w:t xml:space="preserve">Еразмус (англ. </w:t>
      </w:r>
      <w:r>
        <w:rPr>
          <w:rFonts w:cs="Arial"/>
          <w:i/>
          <w:sz w:val="20"/>
          <w:szCs w:val="20"/>
          <w:lang w:val="uk-UA"/>
        </w:rPr>
        <w:t>Erasmus</w:t>
      </w:r>
      <w:r>
        <w:rPr>
          <w:rFonts w:cs="Arial"/>
          <w:sz w:val="20"/>
          <w:szCs w:val="20"/>
          <w:lang w:val="uk-UA"/>
        </w:rPr>
        <w:t xml:space="preserve">) – некомерційна програма ЄС з обміну студентами та викладачами між університетами країн – членів ЄС, а також Ісландії, Ліхтенштейна, Македонії, Норвегії, Турції. Програма надає можливість навчатися, проходити стажування та викладати в іншій країні. </w:t>
      </w:r>
    </w:p>
    <w:p>
      <w:pPr>
        <w:ind w:firstLine="426"/>
        <w:jc w:val="both"/>
        <w:rPr>
          <w:rFonts w:cs="Arial"/>
          <w:sz w:val="20"/>
          <w:szCs w:val="20"/>
          <w:lang w:val="uk-UA"/>
        </w:rPr>
      </w:pPr>
      <w:r>
        <w:rPr>
          <w:rFonts w:cs="Arial"/>
          <w:sz w:val="20"/>
          <w:szCs w:val="20"/>
          <w:lang w:val="uk-UA"/>
        </w:rPr>
        <w:t>Програма Європейського Союзу “Еразмус+” розрахована на 2014 – 2020 рр. та спрямована на підтримку проектів, партнерства, мобільність, інші заходи у сферах освіти, професійно-технічної підготовки, молоді та спорту. Україна бере участь у програмі “Еразмус+ ”як країна – партнер ЄС, але у певних напрямах може брати участь як координатор, та/або партнер проектів. У рамках Еразмус+ КА2 (2014-20120) реалізуються проекти співпраці для розвитку інновацій та обміну кращими практиками у галузі вищої освіти, наступні можливості відкриті для співпраці з країнами-партнерами програми (включаючи Україну) [3]. Одним з напрямів співпраці є розвиток потенціалу вищої освіти (</w:t>
      </w:r>
      <w:r>
        <w:rPr>
          <w:rFonts w:cs="Arial"/>
          <w:i/>
          <w:sz w:val="20"/>
          <w:szCs w:val="20"/>
          <w:lang w:val="uk-UA"/>
        </w:rPr>
        <w:t>ex-Tempus</w:t>
      </w:r>
      <w:r>
        <w:rPr>
          <w:rFonts w:cs="Arial"/>
          <w:sz w:val="20"/>
          <w:szCs w:val="20"/>
          <w:lang w:val="uk-UA"/>
        </w:rPr>
        <w:t>), що може сприяти інноваційні складовій розвитку економічної науки.</w:t>
      </w:r>
    </w:p>
    <w:p>
      <w:pPr>
        <w:ind w:firstLine="426"/>
        <w:jc w:val="both"/>
        <w:rPr>
          <w:rFonts w:cs="Arial"/>
          <w:sz w:val="20"/>
          <w:szCs w:val="20"/>
          <w:lang w:val="uk-UA"/>
        </w:rPr>
      </w:pPr>
      <w:r>
        <w:rPr>
          <w:rFonts w:cs="Arial"/>
          <w:sz w:val="20"/>
          <w:szCs w:val="20"/>
          <w:lang w:val="uk-UA"/>
        </w:rPr>
        <w:t>Університети та інші організації з країни-члена програми чи партнера програми можуть ініціювати та/чи взяти участь у спільних проектах розвитку потенціалу вищої освіти, які розробляє і виконує консорціум університетів з країн-членів програми Еразмус+, з одного боку, та з певного регіону світу.</w:t>
      </w:r>
    </w:p>
    <w:p>
      <w:pPr>
        <w:ind w:firstLine="426"/>
        <w:jc w:val="both"/>
        <w:rPr>
          <w:rFonts w:cs="Arial"/>
          <w:sz w:val="20"/>
          <w:szCs w:val="20"/>
          <w:lang w:val="uk-UA"/>
        </w:rPr>
      </w:pPr>
      <w:r>
        <w:rPr>
          <w:rFonts w:cs="Arial"/>
          <w:sz w:val="20"/>
          <w:szCs w:val="20"/>
          <w:lang w:val="uk-UA"/>
        </w:rPr>
        <w:t>Прикладом реалізації проектів академічної мобільності може бути співпраця Харківського національного економічного університету ім. С. Кузнеця і Державної вищої технічно-економічної Школи ім. Б. Маркевича в Ярославі (Республіка Польща), яка є багатопрофільним вищим навчальним закладом та готується до  свого 20-річчя, і майже 10 років бере участь у Програмі Еразмус. Новий формат програми  академічної мобільності Еразмус+ передбачає можливість участі у ній викладачів та студентів з України.</w:t>
      </w:r>
    </w:p>
    <w:p>
      <w:pPr>
        <w:ind w:firstLine="426"/>
        <w:jc w:val="both"/>
        <w:rPr>
          <w:rFonts w:cs="Arial"/>
          <w:sz w:val="20"/>
          <w:szCs w:val="20"/>
          <w:lang w:val="uk-UA"/>
        </w:rPr>
      </w:pPr>
      <w:r>
        <w:rPr>
          <w:rFonts w:cs="Arial"/>
          <w:sz w:val="20"/>
          <w:szCs w:val="20"/>
          <w:lang w:val="uk-UA"/>
        </w:rPr>
        <w:t xml:space="preserve">Сформованим підґрунтям участі у програмі академічної мобільності у Республіці Польща (на базі ДВТЕШ ім. Б. Маркевича в Ярославі)  викладачів ХНЕУ ім. С. Кузнеця була Угода про партнерство у міжнародній сфері, яка започаткувала програми академічної мобільності, а також виконання Міжнародного наукового проекту за участі чотирьох країн з випуском монографії щодо реформування ринку фінансових послуг за стандартами ЄС. </w:t>
      </w:r>
    </w:p>
    <w:p>
      <w:pPr>
        <w:ind w:firstLine="426"/>
        <w:jc w:val="both"/>
        <w:rPr>
          <w:rFonts w:cs="Arial"/>
          <w:sz w:val="20"/>
          <w:szCs w:val="20"/>
          <w:lang w:val="uk-UA"/>
        </w:rPr>
      </w:pPr>
      <w:r>
        <w:rPr>
          <w:rFonts w:cs="Arial"/>
          <w:sz w:val="20"/>
          <w:szCs w:val="20"/>
          <w:lang w:val="uk-UA"/>
        </w:rPr>
        <w:t>Програма академічної мобільності передбачала обмін досвідом у сфері педагогічної діяльності і викладання економічних дисциплін. У звіті-анкеті в офіс Програми Еразмус+ було відзначено, що обмін досвідом відбувався з двох боків: польської та української вищої школи, а також інноваційного розвитку економічної науки щодо спільних дослідницьких проектів.</w:t>
      </w:r>
      <w:r>
        <w:rPr>
          <w:rFonts w:cs="Arial"/>
          <w:sz w:val="20"/>
          <w:szCs w:val="20"/>
          <w:lang w:val="uk-UA"/>
        </w:rPr>
        <w:tab/>
      </w:r>
    </w:p>
    <w:p>
      <w:pPr>
        <w:ind w:firstLine="426"/>
        <w:jc w:val="both"/>
        <w:rPr>
          <w:rFonts w:cs="Arial"/>
          <w:sz w:val="20"/>
          <w:szCs w:val="20"/>
          <w:lang w:val="uk-UA"/>
        </w:rPr>
      </w:pPr>
      <w:r>
        <w:rPr>
          <w:rFonts w:cs="Arial"/>
          <w:sz w:val="20"/>
          <w:szCs w:val="20"/>
          <w:lang w:val="uk-UA"/>
        </w:rPr>
        <w:t>Пріоритетними питаннями освітнього процесу в вищих навчальних закладах ЄС є наукова робота студентів та співпраця з роботодавцями. За результатами участі у програмі академічної мобільності, що має бути впроваджено у навчальний процес – це подальший розвиток співпраці не тільки з викладачами польського ВНЗ, але зі студентами, можлива спільна участь у міжнародних конкурсах. Подальше проведення наукових досліджень і можливий випуск монографій іноземною мовою  за їх результатами.</w:t>
      </w:r>
    </w:p>
    <w:p>
      <w:pPr>
        <w:ind w:firstLine="426"/>
        <w:jc w:val="both"/>
        <w:rPr>
          <w:rFonts w:cs="Arial"/>
          <w:sz w:val="20"/>
          <w:szCs w:val="20"/>
          <w:lang w:val="uk-UA"/>
        </w:rPr>
      </w:pPr>
      <w:r>
        <w:rPr>
          <w:rFonts w:cs="Arial"/>
          <w:sz w:val="20"/>
          <w:szCs w:val="20"/>
          <w:lang w:val="uk-UA"/>
        </w:rPr>
        <w:t>Академічна мобільність викладачів вищих навчальних закладів України спрямована на посилення європейської інтеграції України до світового освітнього та наукового простору. Більшість прав освітян в Україні на академічну мобільність закріплені на законодавчому та нормативному рівні. Новий формат Програми Еразмус+ сприятиме залученню фахівців з України у процес академічної мобільності Європи. Президентом НАУКМА відзначено великий  вплив проектів програм ЄС, зокрема, Еразмус +, на розвиток університетів, в т.ч. і економічної науки [4]. Його повільність пов’язана з обмеженістю фінансових ресурсів  українських закладів освіти, але участь у спільних і структурних проектах із закладами ЄС надасть нових імпульсів у забезпеченні інноваційної складової розвитку економічної науки.</w:t>
      </w:r>
    </w:p>
    <w:p>
      <w:pPr>
        <w:jc w:val="both"/>
        <w:rPr>
          <w:rFonts w:cs="Arial"/>
          <w:sz w:val="12"/>
          <w:szCs w:val="20"/>
          <w:lang w:val="uk-UA"/>
        </w:rPr>
      </w:pPr>
    </w:p>
    <w:p>
      <w:pPr>
        <w:pStyle w:val="6"/>
        <w:jc w:val="center"/>
        <w:rPr>
          <w:rFonts w:ascii="Arial" w:hAnsi="Arial" w:cs="Arial"/>
          <w:b/>
          <w:sz w:val="20"/>
          <w:szCs w:val="20"/>
        </w:rPr>
      </w:pPr>
      <w:r>
        <w:rPr>
          <w:rFonts w:ascii="Arial" w:hAnsi="Arial" w:cs="Arial"/>
          <w:b/>
          <w:sz w:val="20"/>
          <w:szCs w:val="20"/>
        </w:rPr>
        <w:t>Список літератури</w:t>
      </w:r>
    </w:p>
    <w:p>
      <w:pPr>
        <w:pStyle w:val="6"/>
        <w:ind w:firstLine="709"/>
        <w:jc w:val="both"/>
        <w:rPr>
          <w:b/>
          <w:bCs/>
          <w:sz w:val="12"/>
          <w:szCs w:val="12"/>
        </w:rPr>
      </w:pPr>
    </w:p>
    <w:p>
      <w:pPr>
        <w:pStyle w:val="6"/>
        <w:ind w:firstLine="426"/>
        <w:jc w:val="both"/>
        <w:rPr>
          <w:spacing w:val="-4"/>
          <w:sz w:val="18"/>
          <w:szCs w:val="18"/>
        </w:rPr>
      </w:pPr>
      <w:r>
        <w:rPr>
          <w:bCs/>
          <w:sz w:val="18"/>
          <w:szCs w:val="18"/>
        </w:rPr>
        <w:t>1. </w:t>
      </w:r>
      <w:r>
        <w:rPr>
          <w:spacing w:val="-4"/>
          <w:sz w:val="18"/>
          <w:szCs w:val="18"/>
        </w:rPr>
        <w:t>Академічна мобільність як фактор інтеграції України у світовий науково-освітній простір: Аналітична записка / Національний інститут стратегічних досліджень. [Електронний ресурс]. Доступно: http://www.niss.gov.ua/ articles/1421/. Дата звернення: 1.02.2018.</w:t>
      </w:r>
    </w:p>
    <w:p>
      <w:pPr>
        <w:pStyle w:val="6"/>
        <w:ind w:firstLine="426"/>
        <w:jc w:val="both"/>
        <w:rPr>
          <w:spacing w:val="-4"/>
          <w:sz w:val="18"/>
          <w:szCs w:val="18"/>
        </w:rPr>
      </w:pPr>
      <w:r>
        <w:rPr>
          <w:spacing w:val="-4"/>
          <w:sz w:val="18"/>
          <w:szCs w:val="18"/>
        </w:rPr>
        <w:t xml:space="preserve">2. Н. М. Внукова, “ЕРАЗМУС+” – інтеграційна європейська програма академічної мобільності”, </w:t>
      </w:r>
      <w:r>
        <w:rPr>
          <w:i/>
          <w:spacing w:val="-4"/>
          <w:sz w:val="18"/>
          <w:szCs w:val="18"/>
        </w:rPr>
        <w:t>Безпекове інноваційне суспільство: взаємодія у сфері правової освіти та правового виховання</w:t>
      </w:r>
      <w:r>
        <w:rPr>
          <w:spacing w:val="-4"/>
          <w:sz w:val="18"/>
          <w:szCs w:val="18"/>
        </w:rPr>
        <w:t xml:space="preserve">. </w:t>
      </w:r>
      <w:r>
        <w:rPr>
          <w:i/>
          <w:spacing w:val="-4"/>
          <w:sz w:val="18"/>
          <w:szCs w:val="18"/>
        </w:rPr>
        <w:t>Право</w:t>
      </w:r>
      <w:r>
        <w:rPr>
          <w:spacing w:val="-4"/>
          <w:sz w:val="18"/>
          <w:szCs w:val="18"/>
        </w:rPr>
        <w:t>,т. 2, № 3,  с.31 – 35, 2016.</w:t>
      </w:r>
    </w:p>
    <w:p>
      <w:pPr>
        <w:pStyle w:val="6"/>
        <w:ind w:firstLine="426"/>
        <w:jc w:val="both"/>
        <w:rPr>
          <w:spacing w:val="-4"/>
          <w:sz w:val="18"/>
          <w:szCs w:val="18"/>
        </w:rPr>
      </w:pPr>
      <w:r>
        <w:rPr>
          <w:spacing w:val="-4"/>
          <w:sz w:val="18"/>
          <w:szCs w:val="18"/>
        </w:rPr>
        <w:t>3.</w:t>
      </w:r>
      <w:r>
        <w:rPr>
          <w:spacing w:val="-4"/>
          <w:sz w:val="18"/>
          <w:szCs w:val="18"/>
        </w:rPr>
        <w:tab/>
      </w:r>
      <w:r>
        <w:rPr>
          <w:spacing w:val="-4"/>
          <w:sz w:val="18"/>
          <w:szCs w:val="18"/>
        </w:rPr>
        <w:t>Еразмус+ КА2, [Електронний ресурс]. Доступно: http://erasmusplus.org.ua /erasmus/ka2-proekty-spivpratsi.html. Дата звернення: 1.02.2018.</w:t>
      </w:r>
    </w:p>
    <w:p>
      <w:pPr>
        <w:pStyle w:val="6"/>
        <w:ind w:firstLine="426"/>
        <w:jc w:val="both"/>
        <w:rPr>
          <w:spacing w:val="-4"/>
          <w:sz w:val="18"/>
          <w:szCs w:val="18"/>
        </w:rPr>
      </w:pPr>
      <w:r>
        <w:rPr>
          <w:spacing w:val="-4"/>
          <w:sz w:val="18"/>
          <w:szCs w:val="18"/>
        </w:rPr>
        <w:t>4. Оновлено матеріали семінару для переможців конкурсу проектів з розвитку потенціалу вищої освіти (16.11.2016) [Електронний ресурс]. Доступно: http://erasmusplus.org.ua/novyny/1418-seminar-dlia-peremozhtsiv-konkursu-proektiv-z-rozvytku-potentsialu-vyshchoi-osvity.html. Дата звернення: 1.02.2018.</w:t>
      </w:r>
    </w:p>
    <w:p>
      <w:pPr>
        <w:pStyle w:val="6"/>
        <w:ind w:firstLine="426"/>
        <w:jc w:val="both"/>
        <w:rPr>
          <w:spacing w:val="-4"/>
          <w:sz w:val="18"/>
          <w:szCs w:val="18"/>
        </w:rPr>
      </w:pPr>
      <w:r>
        <w:rPr>
          <w:spacing w:val="-4"/>
          <w:sz w:val="18"/>
          <w:szCs w:val="18"/>
        </w:rPr>
        <w:t>5. Верховна Рада України 2014, № 37-38, ст.2004) Закон України “Про вищу освіту”. [Електронний ресурс]. Доступно: http://zakon3.rada.gov.ua/laws/show/1556-18/print1452952512828920. Дата звернення: 1.02.2018.</w:t>
      </w:r>
    </w:p>
    <w:sectPr>
      <w:type w:val="continuous"/>
      <w:pgSz w:w="11906" w:h="16838"/>
      <w:pgMar w:top="1134" w:right="1134" w:bottom="1418" w:left="1418" w:header="709" w:footer="709" w:gutter="0"/>
      <w:cols w:space="284"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43" w:usb2="00000009" w:usb3="00000000" w:csb0="400001FF" w:csb1="FFFF0000"/>
  </w:font>
  <w:font w:name="Cambria">
    <w:panose1 w:val="02040503050406030204"/>
    <w:charset w:val="CC"/>
    <w:family w:val="roman"/>
    <w:pitch w:val="default"/>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cumentProtection w:enforcement="0"/>
  <w:defaultTabStop w:val="708"/>
  <w:autoHyphenation/>
  <w:hyphenationZone w:val="425"/>
  <w:characterSpacingControl w:val="doNotCompress"/>
  <w:compat>
    <w:compatSetting w:name="compatibilityMode" w:uri="http://schemas.microsoft.com/office/word" w:val="12"/>
  </w:compat>
  <w:rsids>
    <w:rsidRoot w:val="00BA7DD7"/>
    <w:rsid w:val="00083C9A"/>
    <w:rsid w:val="00085A8E"/>
    <w:rsid w:val="00094954"/>
    <w:rsid w:val="000B2D84"/>
    <w:rsid w:val="000B367A"/>
    <w:rsid w:val="00141466"/>
    <w:rsid w:val="00261EEF"/>
    <w:rsid w:val="00293CFA"/>
    <w:rsid w:val="00296955"/>
    <w:rsid w:val="004D5EA7"/>
    <w:rsid w:val="005071A4"/>
    <w:rsid w:val="00523686"/>
    <w:rsid w:val="005873F0"/>
    <w:rsid w:val="005B0603"/>
    <w:rsid w:val="0061481B"/>
    <w:rsid w:val="006B127E"/>
    <w:rsid w:val="006F0DD5"/>
    <w:rsid w:val="007F5F88"/>
    <w:rsid w:val="00800914"/>
    <w:rsid w:val="00817912"/>
    <w:rsid w:val="008902B8"/>
    <w:rsid w:val="00910C7B"/>
    <w:rsid w:val="00A17DD0"/>
    <w:rsid w:val="00A82C79"/>
    <w:rsid w:val="00AF0195"/>
    <w:rsid w:val="00B60D98"/>
    <w:rsid w:val="00BA7DD7"/>
    <w:rsid w:val="00D50633"/>
    <w:rsid w:val="00DB1440"/>
    <w:rsid w:val="00DF4913"/>
    <w:rsid w:val="00E718A1"/>
    <w:rsid w:val="00EC7890"/>
    <w:rsid w:val="00F11D04"/>
    <w:rsid w:val="00F64C2C"/>
    <w:rsid w:val="00F7362C"/>
    <w:rsid w:val="00FA00A5"/>
    <w:rsid w:val="00FD5A1B"/>
    <w:rsid w:val="1E9F6C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uppressAutoHyphens/>
      <w:spacing w:after="0" w:line="240" w:lineRule="auto"/>
    </w:pPr>
    <w:rPr>
      <w:rFonts w:ascii="Times New Roman" w:hAnsi="Times New Roman" w:eastAsia="MS Mincho" w:cs="Times New Roman"/>
      <w:sz w:val="24"/>
      <w:szCs w:val="24"/>
      <w:lang w:val="ru-RU" w:eastAsia="ar-SA"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rFonts w:ascii="Tahoma" w:hAnsi="Tahoma" w:cs="Tahoma"/>
      <w:sz w:val="16"/>
      <w:szCs w:val="16"/>
    </w:rPr>
  </w:style>
  <w:style w:type="character" w:styleId="4">
    <w:name w:val="Hyperlink"/>
    <w:basedOn w:val="3"/>
    <w:unhideWhenUsed/>
    <w:uiPriority w:val="99"/>
    <w:rPr>
      <w:color w:val="0000FF" w:themeColor="hyperlink"/>
      <w:u w:val="single"/>
    </w:rPr>
  </w:style>
  <w:style w:type="paragraph" w:customStyle="1" w:styleId="6">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uk-UA" w:eastAsia="uk-UA" w:bidi="ar-SA"/>
    </w:rPr>
  </w:style>
  <w:style w:type="character" w:customStyle="1" w:styleId="7">
    <w:name w:val="Текст выноски Знак"/>
    <w:basedOn w:val="3"/>
    <w:link w:val="2"/>
    <w:semiHidden/>
    <w:uiPriority w:val="99"/>
    <w:rPr>
      <w:rFonts w:ascii="Tahoma" w:hAnsi="Tahoma" w:eastAsia="MS Mincho" w:cs="Tahoma"/>
      <w:sz w:val="16"/>
      <w:szCs w:val="16"/>
      <w:lang w:val="ru-RU" w:eastAsia="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219CE4-7BF1-49CB-AB43-55C34B0C13A6}">
  <ds:schemaRefs/>
</ds:datastoreItem>
</file>

<file path=docProps/app.xml><?xml version="1.0" encoding="utf-8"?>
<Properties xmlns="http://schemas.openxmlformats.org/officeDocument/2006/extended-properties" xmlns:vt="http://schemas.openxmlformats.org/officeDocument/2006/docPropsVTypes">
  <Template>Normal</Template>
  <Company>MultiDVD Team</Company>
  <Pages>2</Pages>
  <Words>1517</Words>
  <Characters>8647</Characters>
  <Lines>72</Lines>
  <Paragraphs>20</Paragraphs>
  <TotalTime>0</TotalTime>
  <ScaleCrop>false</ScaleCrop>
  <LinksUpToDate>false</LinksUpToDate>
  <CharactersWithSpaces>10144</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2012-09-29T11:44:00Z</dcterms:created>
  <dc:creator>macht</dc:creator>
  <cp:lastModifiedBy>mcwla</cp:lastModifiedBy>
  <dcterms:modified xsi:type="dcterms:W3CDTF">2018-02-09T13:07:09Z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